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Annual Compliance Review Checklist</w:t>
      </w:r>
    </w:p>
    <w:p>
      <w:pPr>
        <w:ind w:left="720"/>
      </w:pPr>
      <w:r>
        <w:rPr>
          <w:i/>
          <w:color w:val="666666"/>
        </w:rPr>
        <w:t xml:space="preserve">**Acme Inc** — Annual Compliance Review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Generated on 2026-03-19 by [Codepliant](https://github.com/joechensmartz/codepliant)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1. Review Metadata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**Organization**  |  Acme Inc</w:t>
      </w:r>
    </w:p>
    <w:p>
      <w:r>
        <w:rPr>
          <w:sz w:val="20"/>
        </w:rPr>
        <w:t xml:space="preserve">**Review Lead**  |  Jane Mueller</w:t>
      </w:r>
    </w:p>
    <w:p>
      <w:r>
        <w:rPr>
          <w:sz w:val="20"/>
        </w:rPr>
        <w:t xml:space="preserve">**Contact**  |  dpo@acme-saas.com</w:t>
      </w:r>
    </w:p>
    <w:p>
      <w:r>
        <w:rPr>
          <w:sz w:val="20"/>
        </w:rPr>
        <w:t xml:space="preserve">**Review Period**  |  [Start Date] to [End Date]</w:t>
      </w:r>
    </w:p>
    <w:p>
      <w:r>
        <w:rPr>
          <w:sz w:val="20"/>
        </w:rPr>
        <w:t xml:space="preserve">**Checklist Generated**  |  2026-03-19</w:t>
      </w:r>
    </w:p>
    <w:p>
      <w:r>
        <w:rPr>
          <w:sz w:val="20"/>
        </w:rPr>
        <w:t xml:space="preserve">**Review Deadline**  |  [Set deadline — typically within 30 days of start]</w:t>
      </w:r>
    </w:p>
    <w:p>
      <w:pPr>
        <w:pStyle w:val="Heading2"/>
      </w:pPr>
      <w:r>
        <w:t>2. Document Review Checklist</w:t>
      </w:r>
    </w:p>
    <w:p>
      <w:r>
        <w:t xml:space="preserve">Review each compliance document for accuracy and completeness. Update any document that no longer reflects current practices.</w:t>
      </w:r>
    </w:p>
    <w:p>
      <w:r>
        <w:rPr>
          <w:sz w:val="20"/>
        </w:rPr>
        <w:t xml:space="preserve">#  |  Document  |  Filename  |  Review Frequency  |  Status</w:t>
      </w:r>
    </w:p>
    <w:p>
      <w:r>
        <w:rPr>
          <w:sz w:val="20"/>
        </w:rPr>
        <w:t xml:space="preserve">1  |  Privacy Policy  |  `PRIVACY_POLICY.md`  |  Annual + on change  |  - [ ] Reviewed</w:t>
      </w:r>
    </w:p>
    <w:p>
      <w:r>
        <w:rPr>
          <w:sz w:val="20"/>
        </w:rPr>
        <w:t xml:space="preserve">2  |  Terms of Service  |  `TERMS_OF_SERVICE.md`  |  Annual + on change  |  - [ ] Reviewed</w:t>
      </w:r>
    </w:p>
    <w:p>
      <w:r>
        <w:rPr>
          <w:sz w:val="20"/>
        </w:rPr>
        <w:t xml:space="preserve">3  |  Security Policy  |  `SECURITY.md`  |  Annual + after incidents  |  - [ ] Reviewed</w:t>
      </w:r>
    </w:p>
    <w:p>
      <w:r>
        <w:rPr>
          <w:sz w:val="20"/>
        </w:rPr>
        <w:t xml:space="preserve">4  |  Record of Processing Activities  |  `RECORD_OF_PROCESSING_ACTIVITIES.md`  |  Annual + on change  |  - [ ] Reviewed</w:t>
      </w:r>
    </w:p>
    <w:p>
      <w:r>
        <w:rPr>
          <w:sz w:val="20"/>
        </w:rPr>
        <w:t xml:space="preserve">5  |  Sub-Processor List  |  `SUBPROCESSOR_LIST.md`  |  Quarterly recommended, Annual minimum  |  - [ ] Reviewed</w:t>
      </w:r>
    </w:p>
    <w:p>
      <w:r>
        <w:rPr>
          <w:sz w:val="20"/>
        </w:rPr>
        <w:t xml:space="preserve">6  |  Refund Policy  |  `REFUND_POLICY.md`  |  Annual  |  - [ ] Reviewed</w:t>
      </w:r>
    </w:p>
    <w:p>
      <w:r>
        <w:rPr>
          <w:sz w:val="20"/>
        </w:rPr>
        <w:t xml:space="preserve">7  |  AI Disclosure  |  `AI_DISCLOSURE.md`  |  Annual + on AI service changes  |  - [ ] Reviewed</w:t>
      </w:r>
    </w:p>
    <w:p>
      <w:r>
        <w:rPr>
          <w:sz w:val="20"/>
        </w:rPr>
        <w:t xml:space="preserve">8  |  AI Governance Framework  |  `AI_GOVERNANCE_FRAMEWORK.md`  |  Annual + on model changes  |  - [ ] Reviewed</w:t>
      </w:r>
    </w:p>
    <w:p>
      <w:r>
        <w:rPr>
          <w:sz w:val="20"/>
        </w:rPr>
        <w:t xml:space="preserve">9  |  Cookie Policy  |  `COOKIE_POLICY.md`  |  Annual + on analytics changes  |  - [ ] Reviewed</w:t>
      </w:r>
    </w:p>
    <w:p>
      <w:pPr>
        <w:pStyle w:val="Heading3"/>
      </w:pPr>
      <w:r>
        <w:t>Detailed Review Items per Document</w:t>
      </w:r>
    </w:p>
    <w:p>
      <w:pPr>
        <w:pStyle w:val="Heading4"/>
      </w:pPr>
      <w:r>
        <w:t>Privacy Policy (`PRIVACY_POLICY.md`)</w:t>
      </w:r>
    </w:p>
    <w:p>
      <w:pPr>
        <w:pStyle w:val="ListParagraph"/>
        <w:numPr>
          <w:ilvl w:val="0"/>
          <w:numId w:val="1"/>
        </w:numPr>
      </w:pPr>
      <w:r>
        <w:t xml:space="preserve">[ ] All third-party services listed match current integrations</w:t>
      </w:r>
    </w:p>
    <w:p>
      <w:pPr>
        <w:pStyle w:val="ListParagraph"/>
        <w:numPr>
          <w:ilvl w:val="0"/>
          <w:numId w:val="1"/>
        </w:numPr>
      </w:pPr>
      <w:r>
        <w:t xml:space="preserve">[ ] Data collection descriptions are accurate</w:t>
      </w:r>
    </w:p>
    <w:p>
      <w:pPr>
        <w:pStyle w:val="ListParagraph"/>
        <w:numPr>
          <w:ilvl w:val="0"/>
          <w:numId w:val="1"/>
        </w:numPr>
      </w:pPr>
      <w:r>
        <w:t xml:space="preserve">[ ] Legal basis assignments are correct</w:t>
      </w:r>
    </w:p>
    <w:p>
      <w:pPr>
        <w:pStyle w:val="ListParagraph"/>
        <w:numPr>
          <w:ilvl w:val="0"/>
          <w:numId w:val="1"/>
        </w:numPr>
      </w:pPr>
      <w:r>
        <w:t xml:space="preserve">[ ] Contact information is current</w:t>
      </w:r>
    </w:p>
    <w:p>
      <w:pPr>
        <w:pStyle w:val="ListParagraph"/>
        <w:numPr>
          <w:ilvl w:val="0"/>
          <w:numId w:val="1"/>
        </w:numPr>
      </w:pPr>
      <w:r>
        <w:t xml:space="preserve">[ ] Data retention periods reflect actual practices</w:t>
      </w:r>
    </w:p>
    <w:p>
      <w:pPr>
        <w:pStyle w:val="Heading4"/>
      </w:pPr>
      <w:r>
        <w:t>Terms of Service (`TERMS_OF_SERVICE.md`)</w:t>
      </w:r>
    </w:p>
    <w:p>
      <w:pPr>
        <w:pStyle w:val="ListParagraph"/>
        <w:numPr>
          <w:ilvl w:val="0"/>
          <w:numId w:val="1"/>
        </w:numPr>
      </w:pPr>
      <w:r>
        <w:t xml:space="preserve">[ ] Service description matches current offering</w:t>
      </w:r>
    </w:p>
    <w:p>
      <w:pPr>
        <w:pStyle w:val="ListParagraph"/>
        <w:numPr>
          <w:ilvl w:val="0"/>
          <w:numId w:val="1"/>
        </w:numPr>
      </w:pPr>
      <w:r>
        <w:t xml:space="preserve">[ ] Limitation of liability clauses are appropriate</w:t>
      </w:r>
    </w:p>
    <w:p>
      <w:pPr>
        <w:pStyle w:val="ListParagraph"/>
        <w:numPr>
          <w:ilvl w:val="0"/>
          <w:numId w:val="1"/>
        </w:numPr>
      </w:pPr>
      <w:r>
        <w:t xml:space="preserve">[ ] Governing law and jurisdiction are correct</w:t>
      </w:r>
    </w:p>
    <w:p>
      <w:pPr>
        <w:pStyle w:val="ListParagraph"/>
        <w:numPr>
          <w:ilvl w:val="0"/>
          <w:numId w:val="1"/>
        </w:numPr>
      </w:pPr>
      <w:r>
        <w:t xml:space="preserve">[ ] Acceptable use provisions are current</w:t>
      </w:r>
    </w:p>
    <w:p>
      <w:pPr>
        <w:pStyle w:val="Heading4"/>
      </w:pPr>
      <w:r>
        <w:t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[ ] Security measures reflect current infrastructure</w:t>
      </w:r>
    </w:p>
    <w:p>
      <w:pPr>
        <w:pStyle w:val="ListParagraph"/>
        <w:numPr>
          <w:ilvl w:val="0"/>
          <w:numId w:val="1"/>
        </w:numPr>
      </w:pPr>
      <w:r>
        <w:t xml:space="preserve">[ ] Responsible disclosure process is functional</w:t>
      </w:r>
    </w:p>
    <w:p>
      <w:pPr>
        <w:pStyle w:val="ListParagraph"/>
        <w:numPr>
          <w:ilvl w:val="0"/>
          <w:numId w:val="1"/>
        </w:numPr>
      </w:pPr>
      <w:r>
        <w:t xml:space="preserve">[ ] Contact information is current</w:t>
      </w:r>
    </w:p>
    <w:p>
      <w:pPr>
        <w:pStyle w:val="ListParagraph"/>
        <w:numPr>
          <w:ilvl w:val="0"/>
          <w:numId w:val="1"/>
        </w:numPr>
      </w:pPr>
      <w:r>
        <w:t xml:space="preserve">[ ] Vulnerability response timelines are achievable</w:t>
      </w:r>
    </w:p>
    <w:p>
      <w:pPr>
        <w:pStyle w:val="Heading4"/>
      </w:pPr>
      <w:r>
        <w:t>Record of Processing Activities (`RECORD_OF_PROCESSING_ACTIVITIES.md`)</w:t>
      </w:r>
    </w:p>
    <w:p>
      <w:pPr>
        <w:pStyle w:val="ListParagraph"/>
        <w:numPr>
          <w:ilvl w:val="0"/>
          <w:numId w:val="1"/>
        </w:numPr>
      </w:pPr>
      <w:r>
        <w:t xml:space="preserve">[ ] All processing activities are documented</w:t>
      </w:r>
    </w:p>
    <w:p>
      <w:pPr>
        <w:pStyle w:val="ListParagraph"/>
        <w:numPr>
          <w:ilvl w:val="0"/>
          <w:numId w:val="1"/>
        </w:numPr>
      </w:pPr>
      <w:r>
        <w:t xml:space="preserve">[ ] New services/integrations are reflected</w:t>
      </w:r>
    </w:p>
    <w:p>
      <w:pPr>
        <w:pStyle w:val="ListParagraph"/>
        <w:numPr>
          <w:ilvl w:val="0"/>
          <w:numId w:val="1"/>
        </w:numPr>
      </w:pPr>
      <w:r>
        <w:t xml:space="preserve">[ ] Lawful basis for each activity is reviewed</w:t>
      </w:r>
    </w:p>
    <w:p>
      <w:pPr>
        <w:pStyle w:val="ListParagraph"/>
        <w:numPr>
          <w:ilvl w:val="0"/>
          <w:numId w:val="1"/>
        </w:numPr>
      </w:pPr>
      <w:r>
        <w:t xml:space="preserve">[ ] Data transfer mechanisms are current</w:t>
      </w:r>
    </w:p>
    <w:p>
      <w:pPr>
        <w:pStyle w:val="ListParagraph"/>
        <w:numPr>
          <w:ilvl w:val="0"/>
          <w:numId w:val="1"/>
        </w:numPr>
      </w:pPr>
      <w:r>
        <w:t xml:space="preserve">[ ] Retention periods match actual practices</w:t>
      </w:r>
    </w:p>
    <w:p>
      <w:pPr>
        <w:pStyle w:val="Heading4"/>
      </w:pPr>
      <w:r>
        <w:t>Sub-Processor List (`SUBPROCESSOR_LIST.md`)</w:t>
      </w:r>
    </w:p>
    <w:p>
      <w:pPr>
        <w:pStyle w:val="ListParagraph"/>
        <w:numPr>
          <w:ilvl w:val="0"/>
          <w:numId w:val="1"/>
        </w:numPr>
      </w:pPr>
      <w:r>
        <w:t xml:space="preserve">[ ] All sub-processors are listed</w:t>
      </w:r>
    </w:p>
    <w:p>
      <w:pPr>
        <w:pStyle w:val="ListParagraph"/>
        <w:numPr>
          <w:ilvl w:val="0"/>
          <w:numId w:val="1"/>
        </w:numPr>
      </w:pPr>
      <w:r>
        <w:t xml:space="preserve">[ ] DPA status is verified for each sub-processor</w:t>
      </w:r>
    </w:p>
    <w:p>
      <w:pPr>
        <w:pStyle w:val="ListParagraph"/>
        <w:numPr>
          <w:ilvl w:val="0"/>
          <w:numId w:val="1"/>
        </w:numPr>
      </w:pPr>
      <w:r>
        <w:t xml:space="preserve">[ ] New vendors have been assessed</w:t>
      </w:r>
    </w:p>
    <w:p>
      <w:pPr>
        <w:pStyle w:val="ListParagraph"/>
        <w:numPr>
          <w:ilvl w:val="0"/>
          <w:numId w:val="1"/>
        </w:numPr>
      </w:pPr>
      <w:r>
        <w:t xml:space="preserve">[ ] Discontinued vendors have been removed</w:t>
      </w:r>
    </w:p>
    <w:p>
      <w:pPr>
        <w:pStyle w:val="ListParagraph"/>
        <w:numPr>
          <w:ilvl w:val="0"/>
          <w:numId w:val="1"/>
        </w:numPr>
      </w:pPr>
      <w:r>
        <w:t xml:space="preserve">[ ] Data processing locations are accurate</w:t>
      </w:r>
    </w:p>
    <w:p>
      <w:pPr>
        <w:pStyle w:val="Heading4"/>
      </w:pPr>
      <w:r>
        <w:t>Refund Policy (`REFUND_POLICY.md`)</w:t>
      </w:r>
    </w:p>
    <w:p>
      <w:pPr>
        <w:pStyle w:val="ListParagraph"/>
        <w:numPr>
          <w:ilvl w:val="0"/>
          <w:numId w:val="1"/>
        </w:numPr>
      </w:pPr>
      <w:r>
        <w:t xml:space="preserve">[ ] Refund terms match current business practices</w:t>
      </w:r>
    </w:p>
    <w:p>
      <w:pPr>
        <w:pStyle w:val="ListParagraph"/>
        <w:numPr>
          <w:ilvl w:val="0"/>
          <w:numId w:val="1"/>
        </w:numPr>
      </w:pPr>
      <w:r>
        <w:t xml:space="preserve">[ ] Payment processor information is current</w:t>
      </w:r>
    </w:p>
    <w:p>
      <w:pPr>
        <w:pStyle w:val="ListParagraph"/>
        <w:numPr>
          <w:ilvl w:val="0"/>
          <w:numId w:val="1"/>
        </w:numPr>
      </w:pPr>
      <w:r>
        <w:t xml:space="preserve">[ ] Consumer protection requirements are met</w:t>
      </w:r>
    </w:p>
    <w:p>
      <w:pPr>
        <w:pStyle w:val="Heading4"/>
      </w:pPr>
      <w:r>
        <w:t>AI Disclosure (`AI_DISCLOSURE.md`)</w:t>
      </w:r>
    </w:p>
    <w:p>
      <w:pPr>
        <w:pStyle w:val="ListParagraph"/>
        <w:numPr>
          <w:ilvl w:val="0"/>
          <w:numId w:val="1"/>
        </w:numPr>
      </w:pPr>
      <w:r>
        <w:t xml:space="preserve">[ ] AI services listed match current integrations</w:t>
      </w:r>
    </w:p>
    <w:p>
      <w:pPr>
        <w:pStyle w:val="ListParagraph"/>
        <w:numPr>
          <w:ilvl w:val="0"/>
          <w:numId w:val="1"/>
        </w:numPr>
      </w:pPr>
      <w:r>
        <w:t xml:space="preserve">[ ] Data handling descriptions are accurate</w:t>
      </w:r>
    </w:p>
    <w:p>
      <w:pPr>
        <w:pStyle w:val="ListParagraph"/>
        <w:numPr>
          <w:ilvl w:val="0"/>
          <w:numId w:val="1"/>
        </w:numPr>
      </w:pPr>
      <w:r>
        <w:t xml:space="preserve">[ ] Risk classification is current</w:t>
      </w:r>
    </w:p>
    <w:p>
      <w:pPr>
        <w:pStyle w:val="ListParagraph"/>
        <w:numPr>
          <w:ilvl w:val="0"/>
          <w:numId w:val="1"/>
        </w:numPr>
      </w:pPr>
      <w:r>
        <w:t xml:space="preserve">[ ] Transparency obligations under EU AI Act are met</w:t>
      </w:r>
    </w:p>
    <w:p>
      <w:pPr>
        <w:pStyle w:val="Heading4"/>
      </w:pPr>
      <w:r>
        <w:t>AI Governance Framework (`AI_GOVERNANCE_FRAMEWORK.md`)</w:t>
      </w:r>
    </w:p>
    <w:p>
      <w:pPr>
        <w:pStyle w:val="ListParagraph"/>
        <w:numPr>
          <w:ilvl w:val="0"/>
          <w:numId w:val="1"/>
        </w:numPr>
      </w:pPr>
      <w:r>
        <w:t xml:space="preserve">[ ] AI risk assessments are up to date</w:t>
      </w:r>
    </w:p>
    <w:p>
      <w:pPr>
        <w:pStyle w:val="ListParagraph"/>
        <w:numPr>
          <w:ilvl w:val="0"/>
          <w:numId w:val="1"/>
        </w:numPr>
      </w:pPr>
      <w:r>
        <w:t xml:space="preserve">[ ] Human oversight mechanisms are functioning</w:t>
      </w:r>
    </w:p>
    <w:p>
      <w:pPr>
        <w:pStyle w:val="ListParagraph"/>
        <w:numPr>
          <w:ilvl w:val="0"/>
          <w:numId w:val="1"/>
        </w:numPr>
      </w:pPr>
      <w:r>
        <w:t xml:space="preserve">[ ] AI model cards are current</w:t>
      </w:r>
    </w:p>
    <w:p>
      <w:pPr>
        <w:pStyle w:val="ListParagraph"/>
        <w:numPr>
          <w:ilvl w:val="0"/>
          <w:numId w:val="1"/>
        </w:numPr>
      </w:pPr>
      <w:r>
        <w:t xml:space="preserve">[ ] Bias monitoring is in place</w:t>
      </w:r>
    </w:p>
    <w:p>
      <w:pPr>
        <w:pStyle w:val="Heading4"/>
      </w:pPr>
      <w:r>
        <w:t>Cookie Policy (`COOKIE_POLICY.md`)</w:t>
      </w:r>
    </w:p>
    <w:p>
      <w:pPr>
        <w:pStyle w:val="ListParagraph"/>
        <w:numPr>
          <w:ilvl w:val="0"/>
          <w:numId w:val="1"/>
        </w:numPr>
      </w:pPr>
      <w:r>
        <w:t xml:space="preserve">[ ] Cookie inventory is complete and accurate</w:t>
      </w:r>
    </w:p>
    <w:p>
      <w:pPr>
        <w:pStyle w:val="ListParagraph"/>
        <w:numPr>
          <w:ilvl w:val="0"/>
          <w:numId w:val="1"/>
        </w:numPr>
      </w:pPr>
      <w:r>
        <w:t xml:space="preserve">[ ] Third-party cookies are documented</w:t>
      </w:r>
    </w:p>
    <w:p>
      <w:pPr>
        <w:pStyle w:val="ListParagraph"/>
        <w:numPr>
          <w:ilvl w:val="0"/>
          <w:numId w:val="1"/>
        </w:numPr>
      </w:pPr>
      <w:r>
        <w:t xml:space="preserve">[ ] Consent mechanism is functioning properly</w:t>
      </w:r>
    </w:p>
    <w:p>
      <w:pPr>
        <w:pStyle w:val="ListParagraph"/>
        <w:numPr>
          <w:ilvl w:val="0"/>
          <w:numId w:val="1"/>
        </w:numPr>
      </w:pPr>
      <w:r>
        <w:t xml:space="preserve">[ ] Cookie lifetimes match actual settings</w:t>
      </w:r>
    </w:p>
    <w:p>
      <w:pPr>
        <w:pStyle w:val="Heading2"/>
      </w:pPr>
      <w:r>
        <w:t>3. Regulatory Calendar</w:t>
      </w:r>
    </w:p>
    <w:p>
      <w:r>
        <w:t xml:space="preserve">Key compliance dates and deadlines for the review period:</w:t>
      </w:r>
    </w:p>
    <w:p>
      <w:r>
        <w:rPr>
          <w:sz w:val="20"/>
        </w:rPr>
        <w:t xml:space="preserve">Month  |  Activity  |  Regulation  |  Owner</w:t>
      </w:r>
    </w:p>
    <w:p>
      <w:r>
        <w:rPr>
          <w:sz w:val="20"/>
        </w:rPr>
        <w:t xml:space="preserve">January  |  Annual compliance review kickoff  |  All  |  DPO</w:t>
      </w:r>
    </w:p>
    <w:p>
      <w:r>
        <w:rPr>
          <w:sz w:val="20"/>
        </w:rPr>
        <w:t xml:space="preserve">January  |  Review and update ROPA  |  GDPR Art. 30  |  DPO</w:t>
      </w:r>
    </w:p>
    <w:p>
      <w:r>
        <w:rPr>
          <w:sz w:val="20"/>
        </w:rPr>
        <w:t xml:space="preserve">March  |  PCI DSS self-assessment questionnaire  |  PCI DSS  |  Security Lead</w:t>
      </w:r>
    </w:p>
    <w:p>
      <w:r>
        <w:rPr>
          <w:sz w:val="20"/>
        </w:rPr>
        <w:t xml:space="preserve">April  |  Data breach drill / tabletop exercise  |  GDPR Art. 33-34  |  Incident Response Team</w:t>
      </w:r>
    </w:p>
    <w:p>
      <w:r>
        <w:rPr>
          <w:sz w:val="20"/>
        </w:rPr>
        <w:t xml:space="preserve">June  |  Mid-year sub-processor audit  |  GDPR Art. 28  |  DPO</w:t>
      </w:r>
    </w:p>
    <w:p>
      <w:r>
        <w:rPr>
          <w:sz w:val="20"/>
        </w:rPr>
        <w:t xml:space="preserve">July  |  Employee privacy training refresh  |  GDPR Art. 39  |  HR / DPO</w:t>
      </w:r>
    </w:p>
    <w:p>
      <w:r>
        <w:rPr>
          <w:sz w:val="20"/>
        </w:rPr>
        <w:t xml:space="preserve">August  |  Cookie consent mechanism audit  |  ePrivacy Directive  |  Marketing / DPO</w:t>
      </w:r>
    </w:p>
    <w:p>
      <w:r>
        <w:rPr>
          <w:sz w:val="20"/>
        </w:rPr>
        <w:t xml:space="preserve">September  |  Third-party vendor risk reassessment  |  GDPR Art. 28  |  Procurement / DPO</w:t>
      </w:r>
    </w:p>
    <w:p>
      <w:r>
        <w:rPr>
          <w:sz w:val="20"/>
        </w:rPr>
        <w:t xml:space="preserve">October  |  DSAR process review and testing  |  GDPR Art. 15-22  |  DPO</w:t>
      </w:r>
    </w:p>
    <w:p>
      <w:r>
        <w:rPr>
          <w:sz w:val="20"/>
        </w:rPr>
        <w:t xml:space="preserve">October  |  AI system audit and bias review  |  EU AI Act  |  AI Governance Lead</w:t>
      </w:r>
    </w:p>
    <w:p>
      <w:r>
        <w:rPr>
          <w:sz w:val="20"/>
        </w:rPr>
        <w:t xml:space="preserve">November  |  Security policy and access control review  |  ISO 27001 / SOC 2  |  Security Lead</w:t>
      </w:r>
    </w:p>
    <w:p>
      <w:r>
        <w:rPr>
          <w:sz w:val="20"/>
        </w:rPr>
        <w:t xml:space="preserve">December  |  Year-end compliance summary and planning  |  All  |  DPO</w:t>
      </w:r>
    </w:p>
    <w:p>
      <w:pPr>
        <w:pStyle w:val="Heading2"/>
      </w:pPr>
      <w:r>
        <w:t>4. Operational Compliance Checks</w:t>
      </w:r>
    </w:p>
    <w:p>
      <w:pPr>
        <w:pStyle w:val="Heading3"/>
      </w:pPr>
      <w:r>
        <w:t>Data Subject Rights</w:t>
      </w:r>
    </w:p>
    <w:p>
      <w:pPr>
        <w:pStyle w:val="ListParagraph"/>
        <w:numPr>
          <w:ilvl w:val="0"/>
          <w:numId w:val="1"/>
        </w:numPr>
      </w:pPr>
      <w:r>
        <w:t xml:space="preserve">[ ] DSAR process tested end-to-end within the past 12 months</w:t>
      </w:r>
    </w:p>
    <w:p>
      <w:pPr>
        <w:pStyle w:val="ListParagraph"/>
        <w:numPr>
          <w:ilvl w:val="0"/>
          <w:numId w:val="1"/>
        </w:numPr>
      </w:pPr>
      <w:r>
        <w:t xml:space="preserve">[ ] Average DSAR response time is within 30-day requirement</w:t>
      </w:r>
    </w:p>
    <w:p>
      <w:pPr>
        <w:pStyle w:val="ListParagraph"/>
        <w:numPr>
          <w:ilvl w:val="0"/>
          <w:numId w:val="1"/>
        </w:numPr>
      </w:pPr>
      <w:r>
        <w:t xml:space="preserve">[ ] All DSAR requests from the past year have been documented</w:t>
      </w:r>
    </w:p>
    <w:p>
      <w:pPr>
        <w:pStyle w:val="ListParagraph"/>
        <w:numPr>
          <w:ilvl w:val="0"/>
          <w:numId w:val="1"/>
        </w:numPr>
      </w:pPr>
      <w:r>
        <w:t xml:space="preserve">[ ] Right to erasure process verified (data actually deleted)</w:t>
      </w:r>
    </w:p>
    <w:p>
      <w:pPr>
        <w:pStyle w:val="ListParagraph"/>
        <w:numPr>
          <w:ilvl w:val="0"/>
          <w:numId w:val="1"/>
        </w:numPr>
      </w:pPr>
      <w:r>
        <w:t xml:space="preserve">[ ] Data portability export format tested</w:t>
      </w:r>
    </w:p>
    <w:p>
      <w:pPr>
        <w:pStyle w:val="Heading3"/>
      </w:pPr>
      <w:r>
        <w:t>Data Breach Preparedness</w:t>
      </w:r>
    </w:p>
    <w:p>
      <w:pPr>
        <w:pStyle w:val="ListParagraph"/>
        <w:numPr>
          <w:ilvl w:val="0"/>
          <w:numId w:val="1"/>
        </w:numPr>
      </w:pPr>
      <w:r>
        <w:t xml:space="preserve">[ ] Incident response plan reviewed and updated</w:t>
      </w:r>
    </w:p>
    <w:p>
      <w:pPr>
        <w:pStyle w:val="ListParagraph"/>
        <w:numPr>
          <w:ilvl w:val="0"/>
          <w:numId w:val="1"/>
        </w:numPr>
      </w:pPr>
      <w:r>
        <w:t xml:space="preserve">[ ] Breach notification templates are current</w:t>
      </w:r>
    </w:p>
    <w:p>
      <w:pPr>
        <w:pStyle w:val="ListParagraph"/>
        <w:numPr>
          <w:ilvl w:val="0"/>
          <w:numId w:val="1"/>
        </w:numPr>
      </w:pPr>
      <w:r>
        <w:t xml:space="preserve">[ ] 72-hour notification capability tested</w:t>
      </w:r>
    </w:p>
    <w:p>
      <w:pPr>
        <w:pStyle w:val="ListParagraph"/>
        <w:numPr>
          <w:ilvl w:val="0"/>
          <w:numId w:val="1"/>
        </w:numPr>
      </w:pPr>
      <w:r>
        <w:t xml:space="preserve">[ ] Breach register is maintained</w:t>
      </w:r>
    </w:p>
    <w:p>
      <w:pPr>
        <w:pStyle w:val="ListParagraph"/>
        <w:numPr>
          <w:ilvl w:val="0"/>
          <w:numId w:val="1"/>
        </w:numPr>
      </w:pPr>
      <w:r>
        <w:t xml:space="preserve">[ ] All team members know the breach reporting process</w:t>
      </w:r>
    </w:p>
    <w:p>
      <w:pPr>
        <w:pStyle w:val="Heading3"/>
      </w:pPr>
      <w:r>
        <w:t>Technical Measures</w:t>
      </w:r>
    </w:p>
    <w:p>
      <w:pPr>
        <w:pStyle w:val="ListParagraph"/>
        <w:numPr>
          <w:ilvl w:val="0"/>
          <w:numId w:val="1"/>
        </w:numPr>
      </w:pPr>
      <w:r>
        <w:t xml:space="preserve">[ ] Encryption in transit (TLS/SSL) verified</w:t>
      </w:r>
    </w:p>
    <w:p>
      <w:pPr>
        <w:pStyle w:val="ListParagraph"/>
        <w:numPr>
          <w:ilvl w:val="0"/>
          <w:numId w:val="1"/>
        </w:numPr>
      </w:pPr>
      <w:r>
        <w:t xml:space="preserve">[ ] Encryption at rest verified for all personal data stores</w:t>
      </w:r>
    </w:p>
    <w:p>
      <w:pPr>
        <w:pStyle w:val="ListParagraph"/>
        <w:numPr>
          <w:ilvl w:val="0"/>
          <w:numId w:val="1"/>
        </w:numPr>
      </w:pPr>
      <w:r>
        <w:t xml:space="preserve">[ ] Access control lists reviewed — principle of least privilege</w:t>
      </w:r>
    </w:p>
    <w:p>
      <w:pPr>
        <w:pStyle w:val="ListParagraph"/>
        <w:numPr>
          <w:ilvl w:val="0"/>
          <w:numId w:val="1"/>
        </w:numPr>
      </w:pPr>
      <w:r>
        <w:t xml:space="preserve">[ ] Multi-factor authentication enabled for admin access</w:t>
      </w:r>
    </w:p>
    <w:p>
      <w:pPr>
        <w:pStyle w:val="ListParagraph"/>
        <w:numPr>
          <w:ilvl w:val="0"/>
          <w:numId w:val="1"/>
        </w:numPr>
      </w:pPr>
      <w:r>
        <w:t xml:space="preserve">[ ] Backup and recovery procedures tested</w:t>
      </w:r>
    </w:p>
    <w:p>
      <w:pPr>
        <w:pStyle w:val="ListParagraph"/>
        <w:numPr>
          <w:ilvl w:val="0"/>
          <w:numId w:val="1"/>
        </w:numPr>
      </w:pPr>
      <w:r>
        <w:t xml:space="preserve">[ ] Penetration test conducted within the past 12 months</w:t>
      </w:r>
    </w:p>
    <w:p>
      <w:pPr>
        <w:pStyle w:val="ListParagraph"/>
        <w:numPr>
          <w:ilvl w:val="0"/>
          <w:numId w:val="1"/>
        </w:numPr>
      </w:pPr>
      <w:r>
        <w:t xml:space="preserve">[ ] Dependency vulnerability scan run and critical issues resolved</w:t>
      </w:r>
    </w:p>
    <w:p>
      <w:pPr>
        <w:pStyle w:val="Heading3"/>
      </w:pPr>
      <w:r>
        <w:t>Training and Awareness</w:t>
      </w:r>
    </w:p>
    <w:p>
      <w:pPr>
        <w:pStyle w:val="ListParagraph"/>
        <w:numPr>
          <w:ilvl w:val="0"/>
          <w:numId w:val="1"/>
        </w:numPr>
      </w:pPr>
      <w:r>
        <w:t xml:space="preserve">[ ] All staff completed data protection awareness training</w:t>
      </w:r>
    </w:p>
    <w:p>
      <w:pPr>
        <w:pStyle w:val="ListParagraph"/>
        <w:numPr>
          <w:ilvl w:val="0"/>
          <w:numId w:val="1"/>
        </w:numPr>
      </w:pPr>
      <w:r>
        <w:t xml:space="preserve">[ ] Engineering team trained on privacy by design principles</w:t>
      </w:r>
    </w:p>
    <w:p>
      <w:pPr>
        <w:pStyle w:val="ListParagraph"/>
        <w:numPr>
          <w:ilvl w:val="0"/>
          <w:numId w:val="1"/>
        </w:numPr>
      </w:pPr>
      <w:r>
        <w:t xml:space="preserve">[ ] Customer support trained on DSAR handling</w:t>
      </w:r>
    </w:p>
    <w:p>
      <w:pPr>
        <w:pStyle w:val="ListParagraph"/>
        <w:numPr>
          <w:ilvl w:val="0"/>
          <w:numId w:val="1"/>
        </w:numPr>
      </w:pPr>
      <w:r>
        <w:t xml:space="preserve">[ ] Incident response team trained on breach procedures</w:t>
      </w:r>
    </w:p>
    <w:p>
      <w:pPr>
        <w:pStyle w:val="Heading2"/>
      </w:pPr>
      <w:r>
        <w:t>5. Third-Party Service Assessment</w:t>
      </w:r>
    </w:p>
    <w:p>
      <w:r>
        <w:t xml:space="preserve">Review each third-party service for continued compliance:</w:t>
      </w:r>
    </w:p>
    <w:p>
      <w:r>
        <w:rPr>
          <w:sz w:val="20"/>
        </w:rPr>
        <w:t xml:space="preserve">Service  |  Category  |  DPA in Place  |  Last Reviewed  |  Action Needed</w:t>
      </w:r>
    </w:p>
    <w:p>
      <w:r>
        <w:rPr>
          <w:sz w:val="20"/>
        </w:rPr>
        <w:t xml:space="preserve">@sentry/node  |  monitoring  |  - [ ] Yes  |  [Date]  |  [None / Update DPA / Replace / Remove]</w:t>
      </w:r>
    </w:p>
    <w:p>
      <w:r>
        <w:rPr>
          <w:sz w:val="20"/>
        </w:rPr>
        <w:t xml:space="preserve">@supabase/supabase-js  |  auth  |  - [ ] Yes  |  [Date]  |  [None / Update DPA / Replace / Remove]</w:t>
      </w:r>
    </w:p>
    <w:p>
      <w:r>
        <w:rPr>
          <w:sz w:val="20"/>
        </w:rPr>
        <w:t xml:space="preserve">openai  |  ai  |  - [ ] Yes  |  [Date]  |  [None / Update DPA / Replace / Remove]</w:t>
      </w:r>
    </w:p>
    <w:p>
      <w:r>
        <w:rPr>
          <w:sz w:val="20"/>
        </w:rPr>
        <w:t xml:space="preserve">posthog  |  analytics  |  - [ ] Yes  |  [Date]  |  [None / Update DPA / Replace / Remove]</w:t>
      </w:r>
    </w:p>
    <w:p>
      <w:r>
        <w:rPr>
          <w:sz w:val="20"/>
        </w:rPr>
        <w:t xml:space="preserve">prisma  |  database  |  - [ ] Yes  |  [Date]  |  [None / Update DPA / Replace / Remove]</w:t>
      </w:r>
    </w:p>
    <w:p>
      <w:r>
        <w:rPr>
          <w:sz w:val="20"/>
        </w:rPr>
        <w:t xml:space="preserve">resend  |  email  |  - [ ] Yes  |  [Date]  |  [None / Update DPA / Replace / Remove]</w:t>
      </w:r>
    </w:p>
    <w:p>
      <w:r>
        <w:rPr>
          <w:sz w:val="20"/>
        </w:rPr>
        <w:t xml:space="preserve">stripe  |  payment  |  - [ ] Yes  |  [Date]  |  [None / Update DPA / Replace / Remove]</w:t>
      </w:r>
    </w:p>
    <w:p>
      <w:r>
        <w:rPr>
          <w:sz w:val="20"/>
        </w:rPr>
        <w:t xml:space="preserve">stripe-ios  |  payment  |  - [ ] Yes  |  [Date]  |  [None / Update DPA / Replace / Remove]</w:t>
      </w:r>
    </w:p>
    <w:p>
      <w:pPr>
        <w:pStyle w:val="Heading2"/>
      </w:pPr>
      <w:r>
        <w:t>6. Review Sign-Off</w:t>
      </w:r>
    </w:p>
    <w:p>
      <w:r>
        <w:rPr>
          <w:sz w:val="20"/>
        </w:rPr>
        <w:t xml:space="preserve">Role  |  Name  |  Date  |  Signature</w:t>
      </w:r>
    </w:p>
    <w:p>
      <w:r>
        <w:rPr>
          <w:sz w:val="20"/>
        </w:rPr>
        <w:t xml:space="preserve">Data Protection Officer</w:t>
      </w:r>
    </w:p>
    <w:p>
      <w:r>
        <w:rPr>
          <w:sz w:val="20"/>
        </w:rPr>
        <w:t xml:space="preserve">Chief Information Security Officer</w:t>
      </w:r>
    </w:p>
    <w:p>
      <w:r>
        <w:rPr>
          <w:sz w:val="20"/>
        </w:rPr>
        <w:t xml:space="preserve">Legal Counsel</w:t>
      </w:r>
    </w:p>
    <w:p>
      <w:r>
        <w:rPr>
          <w:sz w:val="20"/>
        </w:rPr>
        <w:t xml:space="preserve">Chief Technology Officer</w:t>
      </w:r>
    </w:p>
    <w:p>
      <w:pPr>
        <w:pStyle w:val="Heading2"/>
      </w:pPr>
      <w:r>
        <w:t>Review Notes</w:t>
      </w:r>
    </w:p>
    <w:p>
      <w:pPr>
        <w:pStyle w:val="Heading3"/>
      </w:pPr>
      <w:r>
        <w:t>What a lawyer should check</w:t>
      </w:r>
    </w:p>
    <w:p>
      <w:pPr>
        <w:pStyle w:val="ListParagraph"/>
        <w:numPr>
          <w:ilvl w:val="0"/>
          <w:numId w:val="1"/>
        </w:numPr>
      </w:pPr>
      <w:r>
        <w:t xml:space="preserve">Ensure the regulatory calendar covers all applicable jurisdictions</w:t>
      </w:r>
    </w:p>
    <w:p>
      <w:pPr>
        <w:pStyle w:val="ListParagraph"/>
        <w:numPr>
          <w:ilvl w:val="0"/>
          <w:numId w:val="1"/>
        </w:numPr>
      </w:pPr>
      <w:r>
        <w:t xml:space="preserve">Verify DSAR response timelines meet local law requirements</w:t>
      </w:r>
    </w:p>
    <w:p>
      <w:pPr>
        <w:pStyle w:val="ListParagraph"/>
        <w:numPr>
          <w:ilvl w:val="0"/>
          <w:numId w:val="1"/>
        </w:numPr>
      </w:pPr>
      <w:r>
        <w:t xml:space="preserve">Confirm breach notification procedures align with all applicable regulations</w:t>
      </w:r>
    </w:p>
    <w:p>
      <w:pPr>
        <w:pStyle w:val="ListParagraph"/>
        <w:numPr>
          <w:ilvl w:val="0"/>
          <w:numId w:val="1"/>
        </w:numPr>
      </w:pPr>
      <w:r>
        <w:t xml:space="preserve">Review third-party DPA status for completeness</w:t>
      </w:r>
    </w:p>
    <w:p>
      <w:pPr>
        <w:pStyle w:val="Heading3"/>
      </w:pPr>
      <w:r>
        <w:t>Auto-generated vs. needs human input</w:t>
      </w:r>
    </w:p>
    <w:p>
      <w:r>
        <w:rPr>
          <w:sz w:val="20"/>
        </w:rPr>
        <w:t xml:space="preserve">Section  |  Status  |  Confidence</w:t>
      </w:r>
    </w:p>
    <w:p>
      <w:r>
        <w:rPr>
          <w:sz w:val="20"/>
        </w:rPr>
        <w:t xml:space="preserve">Document review list  |  Auto-generated from detected documents  |  High</w:t>
      </w:r>
    </w:p>
    <w:p>
      <w:r>
        <w:rPr>
          <w:sz w:val="20"/>
        </w:rPr>
        <w:t xml:space="preserve">Regulatory calendar  |  Template with common dates  |  Medium — customize for jurisdiction</w:t>
      </w:r>
    </w:p>
    <w:p>
      <w:r>
        <w:rPr>
          <w:sz w:val="20"/>
        </w:rPr>
        <w:t xml:space="preserve">Operational checks  |  Standard checklist  |  High</w:t>
      </w:r>
    </w:p>
    <w:p>
      <w:r>
        <w:rPr>
          <w:sz w:val="20"/>
        </w:rPr>
        <w:t xml:space="preserve">Third-party assessment  |  Auto-populated from scan  |  High — services accurate</w:t>
      </w:r>
    </w:p>
    <w:p>
      <w:r>
        <w:rPr>
          <w:sz w:val="20"/>
        </w:rPr>
        <w:t xml:space="preserve">Sign-off section  |  Template — needs completion  |  N/A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Style w:val="ListParagraph"/>
        <w:numPr>
          <w:ilvl w:val="0"/>
          <w:numId w:val="1"/>
        </w:numPr>
      </w:pPr>
      <w:r>
        <w:t xml:space="preserve">Record of Processing Activities (`RECORD_OF_PROCESSING_ACTIVITIES.md`)</w:t>
      </w:r>
    </w:p>
    <w:p>
      <w:pPr>
        <w:pStyle w:val="ListParagraph"/>
        <w:numPr>
          <w:ilvl w:val="0"/>
          <w:numId w:val="1"/>
        </w:numPr>
      </w:pPr>
      <w:r>
        <w:t xml:space="preserve">Compliance Timeline (`COMPLIANCE_TIMELINE.md`)</w:t>
      </w:r>
    </w:p>
    <w:p>
      <w:pPr>
        <w:pStyle w:val="ListParagraph"/>
        <w:numPr>
          <w:ilvl w:val="0"/>
          <w:numId w:val="1"/>
        </w:numPr>
      </w:pPr>
      <w:r>
        <w:t xml:space="preserve">Compliance Notes (`COMPLIANCE_NOTES.md`)</w:t>
      </w:r>
    </w:p>
    <w:p>
      <w:pPr>
        <w:pStyle w:val="ListParagraph"/>
        <w:numPr>
          <w:ilvl w:val="0"/>
          <w:numId w:val="1"/>
        </w:numPr>
      </w:pPr>
      <w:r>
        <w:t xml:space="preserve">Sub-Processor List (`SUBPROCESSOR_LIST.md`)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DSAR Handling Guide (`DSAR_HANDLING_GUIDE.md`)</w:t>
      </w:r>
    </w:p>
    <w:p>
      <w:pPr>
        <w:pBdr>
          <w:bottom w:val="single" w:sz="6" w:space="1" w:color="999999"/>
        </w:pBdr>
      </w:pPr>
    </w:p>
    <w:p>
      <w:r>
        <w:t xml:space="preserve">This Annual Review Checklist was auto-generated by [Codepliant](https://github.com/joechensmartz/codepliant) based on code analysis. It should be customized to reflect your organization's specific compliance obligations and reviewed by legal counsel.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